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MMOG/LE wersja 6 już jest w drodze do Ciebie! Szkolenie 20 i 21.04.2023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Procesy SCM w przemyśle motoryzacyjnym nigdy nie stoją w miejscu. Aby zapewnić, że narzędzie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oceny nadal spełnia najnowsze osiągnięcia i najnowsze trendy w SCM oraz jest dostosowane do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organizacji przyszłości, katalog kryteriów audytowych jest weryfikowany co 3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autorski (AIAG/Odette oraz przedstawiciele OEM-ów i dostawców Tier-1) zakończył wielomiesięczną pracę nad wersją 6 globalnego standardu MMOG/LE (Materials Management Operations</w:t>
      </w:r>
    </w:p>
    <w:p>
      <w:r>
        <w:rPr>
          <w:rFonts w:ascii="calibri" w:hAnsi="calibri" w:eastAsia="calibri" w:cs="calibri"/>
          <w:sz w:val="24"/>
          <w:szCs w:val="24"/>
        </w:rPr>
        <w:t xml:space="preserve">Guidelines/Logistics Evaluation), której główne osie rozwoju były wyznaczone następująco: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1. Wdrożenia procesów oceny SCM u poddostawców (Tier-2 oraz kolejnych poziomów</w:t>
      </w:r>
    </w:p>
    <w:p>
      <w:r>
        <w:rPr>
          <w:rFonts w:ascii="calibri" w:hAnsi="calibri" w:eastAsia="calibri" w:cs="calibri"/>
          <w:sz w:val="24"/>
          <w:szCs w:val="24"/>
        </w:rPr>
        <w:t xml:space="preserve">w łańcuchu dostaw).</w:t>
      </w:r>
    </w:p>
    <w:p>
      <w:r>
        <w:rPr>
          <w:rFonts w:ascii="calibri" w:hAnsi="calibri" w:eastAsia="calibri" w:cs="calibri"/>
          <w:sz w:val="24"/>
          <w:szCs w:val="24"/>
        </w:rPr>
        <w:t xml:space="preserve">2. Przyspieszenie transformacji cyfrowej.</w:t>
      </w:r>
    </w:p>
    <w:p>
      <w:r>
        <w:rPr>
          <w:rFonts w:ascii="calibri" w:hAnsi="calibri" w:eastAsia="calibri" w:cs="calibri"/>
          <w:sz w:val="24"/>
          <w:szCs w:val="24"/>
        </w:rPr>
        <w:t xml:space="preserve">3. Poprawa planowania zdolności produkcyjnej.</w:t>
      </w:r>
    </w:p>
    <w:p>
      <w:r>
        <w:rPr>
          <w:rFonts w:ascii="calibri" w:hAnsi="calibri" w:eastAsia="calibri" w:cs="calibri"/>
          <w:sz w:val="24"/>
          <w:szCs w:val="24"/>
        </w:rPr>
        <w:t xml:space="preserve">4. Podnoszenie świadomości na temat społecznej odpowiedzialności biznesu.</w:t>
      </w:r>
    </w:p>
    <w:p>
      <w:r>
        <w:rPr>
          <w:rFonts w:ascii="calibri" w:hAnsi="calibri" w:eastAsia="calibri" w:cs="calibri"/>
          <w:sz w:val="24"/>
          <w:szCs w:val="24"/>
        </w:rPr>
        <w:t xml:space="preserve">5. Zwiększenie gotowości do zarządzania w kryzysie.</w:t>
      </w:r>
    </w:p>
    <w:p>
      <w:r>
        <w:rPr>
          <w:rFonts w:ascii="calibri" w:hAnsi="calibri" w:eastAsia="calibri" w:cs="calibri"/>
          <w:sz w:val="24"/>
          <w:szCs w:val="24"/>
        </w:rPr>
        <w:t xml:space="preserve">6. Wzmocnienie cyberbezpieczeństwa (ochrony sieci informatycznych, urządzeń, programów</w:t>
      </w:r>
    </w:p>
    <w:p>
      <w:r>
        <w:rPr>
          <w:rFonts w:ascii="calibri" w:hAnsi="calibri" w:eastAsia="calibri" w:cs="calibri"/>
          <w:sz w:val="24"/>
          <w:szCs w:val="24"/>
        </w:rPr>
        <w:t xml:space="preserve">i danych przed atakami, uszkodzeniami lub nieautoryzowanym dostępem).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nowego w MMOG/LE wersji 6?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Rozdział 1 - Strategia i doskonalenia</w:t>
      </w:r>
    </w:p>
    <w:p>
      <w:r>
        <w:rPr>
          <w:rFonts w:ascii="calibri" w:hAnsi="calibri" w:eastAsia="calibri" w:cs="calibri"/>
          <w:sz w:val="24"/>
          <w:szCs w:val="24"/>
        </w:rPr>
        <w:t xml:space="preserve"> Nowość: Środowisko, polityka społeczna i ład korporacyjny (ESG) Podrozdział 1.2</w:t>
      </w:r>
    </w:p>
    <w:p>
      <w:r>
        <w:rPr>
          <w:rFonts w:ascii="calibri" w:hAnsi="calibri" w:eastAsia="calibri" w:cs="calibri"/>
          <w:sz w:val="24"/>
          <w:szCs w:val="24"/>
        </w:rPr>
        <w:t xml:space="preserve"> Nowe kryteria 1.2.1.1. Uwzględnienie ESG w planie strategicznym</w:t>
      </w:r>
    </w:p>
    <w:p>
      <w:r>
        <w:rPr>
          <w:rFonts w:ascii="calibri" w:hAnsi="calibri" w:eastAsia="calibri" w:cs="calibri"/>
          <w:sz w:val="24"/>
          <w:szCs w:val="24"/>
        </w:rPr>
        <w:t xml:space="preserve"> Nowe kryteria 1.2.1.2. Zaangażowanie działu SC w plany działania ESG</w:t>
      </w:r>
    </w:p>
    <w:p>
      <w:r>
        <w:rPr>
          <w:rFonts w:ascii="calibri" w:hAnsi="calibri" w:eastAsia="calibri" w:cs="calibri"/>
          <w:sz w:val="24"/>
          <w:szCs w:val="24"/>
        </w:rPr>
        <w:t xml:space="preserve"> Zarządzanie ryzykiem i rozwój Podrozdział 1.7 (przeniesiony z rozdziału 2): zwiększone wymagania</w:t>
      </w:r>
    </w:p>
    <w:p>
      <w:r>
        <w:rPr>
          <w:rFonts w:ascii="calibri" w:hAnsi="calibri" w:eastAsia="calibri" w:cs="calibri"/>
          <w:sz w:val="24"/>
          <w:szCs w:val="24"/>
        </w:rPr>
        <w:t xml:space="preserve"> Nowe: Kryteria 1.7.2.3 Analiza systemów informatycznych łańcucha dostaw Tolerowane przestoje i czas powrotu do sprawności po awarii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Rozdział 2 – Organizacja pracy</w:t>
      </w:r>
    </w:p>
    <w:p>
      <w:r>
        <w:rPr>
          <w:rFonts w:ascii="calibri" w:hAnsi="calibri" w:eastAsia="calibri" w:cs="calibri"/>
          <w:sz w:val="24"/>
          <w:szCs w:val="24"/>
        </w:rPr>
        <w:t xml:space="preserve"> Środowisko pracy i zasoby ludzkie Podrozdział 2.4: W trakcie przeglądu w celu lepszego reagowania na braki kadrowe</w:t>
      </w:r>
    </w:p>
    <w:p>
      <w:r>
        <w:rPr>
          <w:rFonts w:ascii="calibri" w:hAnsi="calibri" w:eastAsia="calibri" w:cs="calibri"/>
          <w:sz w:val="24"/>
          <w:szCs w:val="24"/>
        </w:rPr>
        <w:t xml:space="preserve"> Nowość: Zarządzanie kryzysowe Podrozdział 2.5</w:t>
      </w:r>
    </w:p>
    <w:p>
      <w:r>
        <w:rPr>
          <w:rFonts w:ascii="calibri" w:hAnsi="calibri" w:eastAsia="calibri" w:cs="calibri"/>
          <w:sz w:val="24"/>
          <w:szCs w:val="24"/>
        </w:rPr>
        <w:t xml:space="preserve"> Kryteria 2.5.1.1– 2.5.2.2. Przygotowanie do sytuacji siły wyższej; Powiadamianie klientów i dostawców;</w:t>
      </w:r>
    </w:p>
    <w:p>
      <w:r>
        <w:rPr>
          <w:rFonts w:ascii="calibri" w:hAnsi="calibri" w:eastAsia="calibri" w:cs="calibri"/>
          <w:sz w:val="24"/>
          <w:szCs w:val="24"/>
        </w:rPr>
        <w:t xml:space="preserve">Zarządzanie zakończeniem kryzysu i ponownym uruchomieniem; Nabyte doświadczenia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DSR S.A. email: dsr@dsr.com.pl KRS: 0000656263 Sąd Rejonowy</w:t>
      </w:r>
    </w:p>
    <w:p>
      <w:r>
        <w:rPr>
          <w:rFonts w:ascii="calibri" w:hAnsi="calibri" w:eastAsia="calibri" w:cs="calibri"/>
          <w:sz w:val="24"/>
          <w:szCs w:val="24"/>
        </w:rPr>
        <w:t xml:space="preserve">ul. Legnicka 55F www.dsr.com.pl NIP: 899-254-42-49 Wrocław – Fabryczna</w:t>
      </w:r>
    </w:p>
    <w:p>
      <w:r>
        <w:rPr>
          <w:rFonts w:ascii="calibri" w:hAnsi="calibri" w:eastAsia="calibri" w:cs="calibri"/>
          <w:sz w:val="24"/>
          <w:szCs w:val="24"/>
        </w:rPr>
        <w:t xml:space="preserve">54-203 Wrocław www.4factory.com Kapitał zakładowy</w:t>
      </w:r>
    </w:p>
    <w:p>
      <w:r>
        <w:rPr>
          <w:rFonts w:ascii="calibri" w:hAnsi="calibri" w:eastAsia="calibri" w:cs="calibri"/>
          <w:sz w:val="24"/>
          <w:szCs w:val="24"/>
        </w:rPr>
        <w:t xml:space="preserve">1 304 622,80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 Wydział Gospodarczy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Rozdział 3 – Wydajność i planowanie produkcji</w:t>
      </w:r>
    </w:p>
    <w:p>
      <w:r>
        <w:rPr>
          <w:rFonts w:ascii="calibri" w:hAnsi="calibri" w:eastAsia="calibri" w:cs="calibri"/>
          <w:sz w:val="24"/>
          <w:szCs w:val="24"/>
        </w:rPr>
        <w:t xml:space="preserve"> Planowanie mocy obliczeniowych Podrozdział 3.2</w:t>
      </w:r>
    </w:p>
    <w:p>
      <w:r>
        <w:rPr>
          <w:rFonts w:ascii="calibri" w:hAnsi="calibri" w:eastAsia="calibri" w:cs="calibri"/>
          <w:sz w:val="24"/>
          <w:szCs w:val="24"/>
        </w:rPr>
        <w:t xml:space="preserve"> Nowe: Kryteria 3.2.1.1 Proces planowania strategicznego zgodny ze scenariuszem</w:t>
      </w:r>
    </w:p>
    <w:p>
      <w:r>
        <w:rPr>
          <w:rFonts w:ascii="calibri" w:hAnsi="calibri" w:eastAsia="calibri" w:cs="calibri"/>
          <w:sz w:val="24"/>
          <w:szCs w:val="24"/>
        </w:rPr>
        <w:t xml:space="preserve">biznesowym</w:t>
      </w:r>
    </w:p>
    <w:p>
      <w:r>
        <w:rPr>
          <w:rFonts w:ascii="calibri" w:hAnsi="calibri" w:eastAsia="calibri" w:cs="calibri"/>
          <w:sz w:val="24"/>
          <w:szCs w:val="24"/>
        </w:rPr>
        <w:t xml:space="preserve"> Kryteria 3.2.2.1. Połączenie dwóch kryteriów F3 dotyczących przeglądu zasobów</w:t>
      </w:r>
    </w:p>
    <w:p>
      <w:r>
        <w:rPr>
          <w:rFonts w:ascii="calibri" w:hAnsi="calibri" w:eastAsia="calibri" w:cs="calibri"/>
          <w:sz w:val="24"/>
          <w:szCs w:val="24"/>
        </w:rPr>
        <w:t xml:space="preserve">produkcyjnych po prognozach (DELFOR) oraz harmonogramy wysyłek (DELJIT)</w:t>
      </w:r>
    </w:p>
    <w:p>
      <w:r>
        <w:rPr>
          <w:rFonts w:ascii="calibri" w:hAnsi="calibri" w:eastAsia="calibri" w:cs="calibri"/>
          <w:sz w:val="24"/>
          <w:szCs w:val="24"/>
        </w:rPr>
        <w:t xml:space="preserve"> Nowość: Stopniowe wycofywanie części podrozdział 3.4</w:t>
      </w:r>
    </w:p>
    <w:p>
      <w:r>
        <w:rPr>
          <w:rFonts w:ascii="calibri" w:hAnsi="calibri" w:eastAsia="calibri" w:cs="calibri"/>
          <w:sz w:val="24"/>
          <w:szCs w:val="24"/>
        </w:rPr>
        <w:t xml:space="preserve"> Kryteria 3.4.1.1 i 3.4.1.2 Zarządzanie częściami stopniowo wycofywanymi, przeniesione</w:t>
      </w:r>
    </w:p>
    <w:p>
      <w:r>
        <w:rPr>
          <w:rFonts w:ascii="calibri" w:hAnsi="calibri" w:eastAsia="calibri" w:cs="calibri"/>
          <w:sz w:val="24"/>
          <w:szCs w:val="24"/>
        </w:rPr>
        <w:t xml:space="preserve">z podrozdziału 5.2 Inwentaryzacja, obecnie F3s</w:t>
      </w:r>
    </w:p>
    <w:p>
      <w:r>
        <w:rPr>
          <w:rFonts w:ascii="calibri" w:hAnsi="calibri" w:eastAsia="calibri" w:cs="calibri"/>
          <w:sz w:val="24"/>
          <w:szCs w:val="24"/>
        </w:rPr>
        <w:t xml:space="preserve"> Integracja systemów Podrozdział 3.5</w:t>
      </w:r>
    </w:p>
    <w:p>
      <w:r>
        <w:rPr>
          <w:rFonts w:ascii="calibri" w:hAnsi="calibri" w:eastAsia="calibri" w:cs="calibri"/>
          <w:sz w:val="24"/>
          <w:szCs w:val="24"/>
        </w:rPr>
        <w:t xml:space="preserve"> Kryteria 3.5.1.1. Połączenie dwóch kryteriów F3 dotyczących integracji prognoz (DELFOR)</w:t>
      </w:r>
    </w:p>
    <w:p>
      <w:r>
        <w:rPr>
          <w:rFonts w:ascii="calibri" w:hAnsi="calibri" w:eastAsia="calibri" w:cs="calibri"/>
          <w:sz w:val="24"/>
          <w:szCs w:val="24"/>
        </w:rPr>
        <w:t xml:space="preserve">i harmonogramów dostaw (DELJIT)</w:t>
      </w:r>
    </w:p>
    <w:p>
      <w:r>
        <w:rPr>
          <w:rFonts w:ascii="calibri" w:hAnsi="calibri" w:eastAsia="calibri" w:cs="calibri"/>
          <w:sz w:val="24"/>
          <w:szCs w:val="24"/>
        </w:rPr>
        <w:t xml:space="preserve"> Kryteria 3.5.2.1. System planowania automatycznie generuje harmonogramy</w:t>
      </w:r>
    </w:p>
    <w:p>
      <w:r>
        <w:rPr>
          <w:rFonts w:ascii="calibri" w:hAnsi="calibri" w:eastAsia="calibri" w:cs="calibri"/>
          <w:sz w:val="24"/>
          <w:szCs w:val="24"/>
        </w:rPr>
        <w:t xml:space="preserve">dostawców, teraz F3</w:t>
      </w:r>
    </w:p>
    <w:p>
      <w:r>
        <w:rPr>
          <w:rFonts w:ascii="calibri" w:hAnsi="calibri" w:eastAsia="calibri" w:cs="calibri"/>
          <w:sz w:val="24"/>
          <w:szCs w:val="24"/>
        </w:rPr>
        <w:t xml:space="preserve">Rozdział 4 – Interfejs klienta</w:t>
      </w:r>
    </w:p>
    <w:p>
      <w:r>
        <w:rPr>
          <w:rFonts w:ascii="calibri" w:hAnsi="calibri" w:eastAsia="calibri" w:cs="calibri"/>
          <w:sz w:val="24"/>
          <w:szCs w:val="24"/>
        </w:rPr>
        <w:t xml:space="preserve"> Nazwa podrozdziału 4.1 z Komunikacja na Współpraca / Collaboration</w:t>
      </w:r>
    </w:p>
    <w:p>
      <w:r>
        <w:rPr>
          <w:rFonts w:ascii="calibri" w:hAnsi="calibri" w:eastAsia="calibri" w:cs="calibri"/>
          <w:sz w:val="24"/>
          <w:szCs w:val="24"/>
        </w:rPr>
        <w:t xml:space="preserve">Rozdział 5 – Produkcja i kontrola produktu</w:t>
      </w:r>
    </w:p>
    <w:p>
      <w:r>
        <w:rPr>
          <w:rFonts w:ascii="calibri" w:hAnsi="calibri" w:eastAsia="calibri" w:cs="calibri"/>
          <w:sz w:val="24"/>
          <w:szCs w:val="24"/>
        </w:rPr>
        <w:t xml:space="preserve"> Podrozdział 5.2 Inwentaryzacja: redukcja z 23 do 12 kryteriów</w:t>
      </w:r>
    </w:p>
    <w:p>
      <w:r>
        <w:rPr>
          <w:rFonts w:ascii="calibri" w:hAnsi="calibri" w:eastAsia="calibri" w:cs="calibri"/>
          <w:sz w:val="24"/>
          <w:szCs w:val="24"/>
        </w:rPr>
        <w:t xml:space="preserve">Rozdział 6 – Interfejs dostawcy</w:t>
      </w:r>
    </w:p>
    <w:p>
      <w:r>
        <w:rPr>
          <w:rFonts w:ascii="calibri" w:hAnsi="calibri" w:eastAsia="calibri" w:cs="calibri"/>
          <w:sz w:val="24"/>
          <w:szCs w:val="24"/>
        </w:rPr>
        <w:t xml:space="preserve"> Podrozdział 6.1 przemianowany z Komunikacja na Współpraca / Collaboration</w:t>
      </w:r>
    </w:p>
    <w:p>
      <w:r>
        <w:rPr>
          <w:rFonts w:ascii="calibri" w:hAnsi="calibri" w:eastAsia="calibri" w:cs="calibri"/>
          <w:sz w:val="24"/>
          <w:szCs w:val="24"/>
        </w:rPr>
        <w:t xml:space="preserve"> Nowość: Podrozdział 6.2 Zgodność dostawców względem wymogów</w:t>
      </w:r>
    </w:p>
    <w:p>
      <w:r>
        <w:rPr>
          <w:rFonts w:ascii="calibri" w:hAnsi="calibri" w:eastAsia="calibri" w:cs="calibri"/>
          <w:sz w:val="24"/>
          <w:szCs w:val="24"/>
        </w:rPr>
        <w:t xml:space="preserve"> Przekazanie wymogów ESG dostawcom i poddostawcom</w:t>
      </w:r>
    </w:p>
    <w:p>
      <w:r>
        <w:rPr>
          <w:rFonts w:ascii="calibri" w:hAnsi="calibri" w:eastAsia="calibri" w:cs="calibri"/>
          <w:sz w:val="24"/>
          <w:szCs w:val="24"/>
        </w:rPr>
        <w:t xml:space="preserve"> Nowość: Podrozdział 6.9 Odporność łańcucha dostaw</w:t>
      </w:r>
    </w:p>
    <w:p>
      <w:r>
        <w:rPr>
          <w:rFonts w:ascii="calibri" w:hAnsi="calibri" w:eastAsia="calibri" w:cs="calibri"/>
          <w:sz w:val="24"/>
          <w:szCs w:val="24"/>
        </w:rPr>
        <w:t xml:space="preserve"> Kryteria 6.9.1.1 i 6.9.1.2. Kaskadowy proces oceny ryzyka i plany awaryjne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 zainteresowanych szczegółami wersji 6 MMOG/LE prosimy o kontakt z Jarosławem</w:t>
      </w:r>
    </w:p>
    <w:p>
      <w:r>
        <w:rPr>
          <w:rFonts w:ascii="calibri" w:hAnsi="calibri" w:eastAsia="calibri" w:cs="calibri"/>
          <w:sz w:val="24"/>
          <w:szCs w:val="24"/>
        </w:rPr>
        <w:t xml:space="preserve">Jaśkiewiczem GSM: + 48 538 112 639, email: jaroslaw.jaskiewicz@dsr.com.pl</w:t>
      </w:r>
    </w:p>
    <w:p>
      <w:r>
        <w:rPr>
          <w:rFonts w:ascii="calibri" w:hAnsi="calibri" w:eastAsia="calibri" w:cs="calibri"/>
          <w:sz w:val="24"/>
          <w:szCs w:val="24"/>
        </w:rPr>
        <w:t xml:space="preserve">i oferujemy udział w szkoleniu w dniach 20 i 21.04.2023 więcej szczegółów również pod</w:t>
      </w:r>
    </w:p>
    <w:p>
      <w:r>
        <w:rPr>
          <w:rFonts w:ascii="calibri" w:hAnsi="calibri" w:eastAsia="calibri" w:cs="calibri"/>
          <w:sz w:val="24"/>
          <w:szCs w:val="24"/>
        </w:rPr>
        <w:t xml:space="preserve">linkiem: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https://www.dsr.com.pl/mmog-szkolenie/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sr.com.pl/mmog-szkol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2024-04-28T10:17:00+02:00</dcterms:created>
  <dcterms:modified xsi:type="dcterms:W3CDTF">2024-04-28T10:17:00+02:00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