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Elektroniczny Certyfikat Zgodności (eCoC) zmienia zasady homologacji pojazdów od 29 listopada 2026 r. Eksperci Polskiej Izby Motoryzacji i DSR 4FACTORY poprowadzą bezpłatne webinary dla producentów oraz firm przebudowujących i zabudowujących pojazdy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Rozporządzenie (UE) 2018/858 zobowiązuje producentów pojazdów oraz firmy przebudowujące i zabudowujące pojazdy do udostępniania organom homologacyjnym danych świadectw zgodności (CoC – Certificate of Conformity) w formie elektronicznej (eCoC), jako ustrukturyzowanych danych zamiast dokumentu papierowego. W Polsce nowy obowiązek zacznie obowiązywać 29 listopada 2026 r. Dla firm, które budują pojazdy w wielu wariantach, oznacza to jedno: dane z konfiguracji produktu muszą bezbłędnie trafiać do dokumentacji homologacyjnej. Jak to osiągnąć, wyjaśnią eksperci podczas dwóch bezpłatnych webinarów z cyklu AKADEMIA 4FACTORY, organizowanych przez DSR S.A. 29 września i 16 października 2026 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Program webinarów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29 września 2026 r., godz. 10:00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 zapytania ofertowego do eCoC: konfiguracja, wycena i dokumentacja produktu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Praktyczny przegląd procesu: konfiguracja i wycena wariantu, struktura produktu (BOM) i technologia, automatyczne generowanie dokumentacji, w tym elektronicznego świadectwa zgodności (eCoC).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kogo: </w:t>
      </w:r>
      <w:r>
        <w:rPr>
          <w:rFonts w:ascii="calibri" w:hAnsi="calibri" w:eastAsia="calibri" w:cs="calibri"/>
          <w:sz w:val="24"/>
          <w:szCs w:val="24"/>
        </w:rPr>
        <w:t xml:space="preserve">kadra kierownicza produkcji, sprzedaży, logistyki i działów technicznych w firmach produkcyjnych oraz wykonujących zabudowy i przebudowy pojazdów.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Prowadzi: </w:t>
      </w:r>
      <w:r>
        <w:rPr>
          <w:rFonts w:ascii="calibri" w:hAnsi="calibri" w:eastAsia="calibri" w:cs="calibri"/>
          <w:sz w:val="24"/>
          <w:szCs w:val="24"/>
        </w:rPr>
        <w:t xml:space="preserve">Rafał Sufin (DSR 4FACTORY)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Zarejestruj się ›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16 października 2026 r., godz. 10:00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eCoC z perspektywy zarządu: co zmienia się dla polskiej branży motoryzacyjnej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Wpływ nowych wymogów na organizację, koszty i ryzyko prawne firmy – w kontekście terminu 29 listopada 2026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kogo: </w:t>
      </w:r>
      <w:r>
        <w:rPr>
          <w:rFonts w:ascii="calibri" w:hAnsi="calibri" w:eastAsia="calibri" w:cs="calibri"/>
          <w:sz w:val="24"/>
          <w:szCs w:val="24"/>
        </w:rPr>
        <w:t xml:space="preserve">członkowie zarządów, dyrektorzy operacyjni, działy IT i homologacji w firmach produkcyjnych oraz wykonujących zabudowy i przebudowy pojazdów.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Prowadzą: </w:t>
      </w:r>
      <w:r>
        <w:rPr>
          <w:rFonts w:ascii="calibri" w:hAnsi="calibri" w:eastAsia="calibri" w:cs="calibri"/>
          <w:sz w:val="24"/>
          <w:szCs w:val="24"/>
        </w:rPr>
        <w:t xml:space="preserve">Andrzej Korpak (Polska Izba Motoryzacji) i Rafał Sufin (DSR 4FACTORY)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Zarejestruj się ›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Webinary trwają około 60 minut i odbywają się online. Udział jest bezpłatny po wcześniejszej rejestracji. Można wziąć udział w jednym lub w obu spotkaniach.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Prelegenci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Andrzej Korpak</w:t>
      </w:r>
      <w:r>
        <w:rPr>
          <w:rFonts w:ascii="calibri" w:hAnsi="calibri" w:eastAsia="calibri" w:cs="calibri"/>
          <w:sz w:val="24"/>
          <w:szCs w:val="24"/>
        </w:rPr>
        <w:t xml:space="preserve"> – od 1997 r. związany z General Motors, a następnie ze Stellantis w Gliwicach, gdzie jako dyrektor i prezes zarządu odpowiadał m.in. za uruchomienie produkcji kolejnych generacji Opla Astry oraz samochodów dostawczych. Obecnie niezależny konsultant branży motoryzacyjnej, ekspert Polskiej Izby Motoryzacji i wiceprzewodniczący Rady Instytutu Łukasiewicz – PIMOT.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Rafał Sufin</w:t>
      </w:r>
      <w:r>
        <w:rPr>
          <w:rFonts w:ascii="calibri" w:hAnsi="calibri" w:eastAsia="calibri" w:cs="calibri"/>
          <w:sz w:val="24"/>
          <w:szCs w:val="24"/>
        </w:rPr>
        <w:t xml:space="preserve"> – konsultant z 25-letnim doświadczeniem we wdrożeniach systemów ERP 4FACTORY – QAD ERP i MES 4FACTORY w firmach produkcyjnych, specjalista od konfiguratorów produktów (QAD Configurator, CFG 4FACTORY). Prowadził wdrożenia m.in. w firmach Wielton, Radmor i Emit.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nfigurator-produktow.grwebsite.pl/" TargetMode="External"/><Relationship Id="rId8" Type="http://schemas.openxmlformats.org/officeDocument/2006/relationships/hyperlink" Target="https://konfigurator-produktow-i-ecoc.grweb.sit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2026-09-26T00:35:31+02:00</dcterms:created>
  <dcterms:modified xsi:type="dcterms:W3CDTF">2026-09-26T00:35:31+02:00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