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Giełdowy Indeks Produkcji wzrósł o 4,32% w maju pokonując WIG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maja Giełdowy Indeks Produkcji (GIP60) osiągnął wartość 925,73 punktów, co dało solidny 4,32% wzrost wartości w stosunku do kwietniowych 887,39 pkt. Tym samym GIP60 wykazał się znacznie lepszym wynikiem od indeksu szerokiego rynku WIG, który stracił w tym samym czasie 0,6%. Po kwietniowym odpływie kapitału w kierunku inwestycji mniej ryzykownych, polskie akcje powoli wracają do łask i wygląda na to, że spółki przemysłowe po raz kolejny jako jedne z pierwszych zwróciły uwagę inwestorów z warszawskiej Giełdy Papierów Wartościowych.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był kolejnym miesiącem, w którym spółki notowane na GPW doświadczały negatywnego sentymentu do rynku, w wyniku czego większość indeksów zamknęło miesiąc poniżej wartości z końca kwietnia. Indeks małych spółek SWIG80 spadł o 2,1%, zrzeszający średnie spółki MWIG40 nieznacznie lepiej gdyż spadł o pół procenta, a indeks WIG20 zrzeszający największe spółki z naszej giełdy znalazł się niżej o 0,8%. W tych niekorzystnych warunkach, wyjątkowo korzystnie dla swoich inwestorów zachowały się papiery spółek z branży chemicznej (WIG-CHEMIA zyskał 15%) i odzieżowej (WIG-ODZIEZ 10,2% wyżej), a niewiele gorzej poradziły sobie spółki z branży budowlanej (WIG-BUDOWNICTWO urósł w miesiąc o 8,5%) i spółki z Ukrainy (WIG-UKRAINA +5,9%). Na przeciwległym biegunie znalazły się niedawni liderzy wzrostów czyli spółki farmaceutyczne (WIG-LEKI -8,3%) i gamingowe (WIG-GRY -7,7%).</w:t>
      </w:r>
    </w:p>
    <w:p>
      <w:r>
        <w:rPr>
          <w:rFonts w:ascii="calibri" w:hAnsi="calibri" w:eastAsia="calibri" w:cs="calibri"/>
          <w:sz w:val="24"/>
          <w:szCs w:val="24"/>
        </w:rPr>
        <w:t xml:space="preserve">Za zeszłomiesięczny sukces Giełdowego Indeksu Produkcji odpowiadają głównie polscy producenci z branży chemicznej i odzieżowej, gdyż średnia miesięczna stopa zwrotu na akcjach tych spółek z GIP60 wyniosła w tych grupach odpowiednio 2,7% i 4,6%. Również polscy producenci z branży metalurgicznej mogą pochwalić się przyzwoitą średnią stopą zwrotu z inwestycji, która wyniosła 4,17%, wspierając wzrost indeksu GIP60 w maju. Zdecydowanie słabszy okres zaliczyli producenci motoryzacji (średnia -5,93%), farmaceutyków (-5,1%) oraz przetwórcy drewna (-5,06%).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polskiego przemysłu rosną w siłę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polską spółką produkcyjna pod względem majowej stopy zwrotu (wzrost o 55,8%) okazał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BORYSZEW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należąca do Romana Karkosika grupa przedsiębiorstw zajmujących się produkcją komponentów dla sektora motoryzacyjnego, materiałów chemicznych wśród których najpopularniejszym jest chyba płyn chłodniczy Borygo, ale także tlenków metali i elementów metalowych. Posiadająca blisko 40 zakładów produkcyjnych zlokalizowanych w 14 krajach i zatrudniająca blisko 12 tysięcy pracowników grupa osiągnęła w I kw. 2022 roku 31,9 mln zł zysku netto, który wypracowała przy przychodach rzędu 1,7 mld zł (17% wzrost w stosunku do I kw. ubiegłego roku) i 100 mln zł EBITDA (+9% rdr). Jak podaje spółka, pozytywne wyniki finansowe grupy były efektem bardzo dobrej sytuacji na rynku stali oraz metali kolorowych – znaczący wzrost popytu krajowego na rynku metali pozwolił spółce zminimalizować negatywny wpływ trudnej sytuacji w branży motoryzacyjnej. Wyniki wywindowały kurs akcji spółki w trakcie kilku pierwszych sesji miesiąca, ujawniając znaczne niedoszacowanie względem potencjału dochodowego w kolejnych kwartałach, tym bardziej, że oczekiwana jest poprawa również na rynku motoryzacyjnym. Nie bez znaczenia dla kurs akcji spółki jest również zapowiedź wypłaty solidnej dywidendy.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drugie na podium majowej klasyfikacji spółek z GIP60 zajęła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AZOTY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miesięczny wzrost ceny akcji o 26,25%. Również w przypadku tej grupy mamy do czynienia ze znaczącą poprawą wyników za I kwartał w porównaniu z analogicznym okresem ubiegłego roku. Wzrost przychodów z 3,4 mld zł do 6,82 mld zł pozwolił na wzrost zysku netto z 80 mln zł ponad 1 mld zł. Pozytywnym bodźcem dla kursu akcji powinno być też zainteresowanie spółki technologią SMR (ang. Small Modular Reactor), czyli mały reaktorów jądrowych, które mogłyby zasilać zakłady spółki w stabilną i niskoemisyjną energię – zgodnie z założeniami, łączna moc nowych OZE w 2030 roku osiągnie w grupie poziom 380M MW, co powinno ograniczyć koszt zakupu energii o ponad 200 mln zł w skali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Trzecie miejsce w klasyfikacji GIP60 przypadło spółce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ZPUE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wzrost ceny akcji o 14,23%, do poziomu 273 zł za akcję. Spółka specjalizuje się w segmencie produkcji kontenerowych stacji transformatorowych, głównie dla sektora energetycznego, ale także dla spółek z sektora produkcyjnego. Także w przypadku tej spółki wyniki za I kwartał miały decydujący wpływ na przyciągnięcie uwagi inwestorów. Wzrost przychodów z 148 mln zł do 212 mln zł pozwolił spółce poprawić wynik operacyjny z 7 mln zł do 20 mln zł a wynik netto z 5,4 mln zł do 14 mln zł.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Generalnie niemal połowie spółek z indeksu GIP60 udało się poprawić wyniki za I kwartał i wycenę rynkową w maju, co na tle chimerycznej GPW należy uznać za przyzwoity wynik. Do liderów wzrostu może dołączyć niedługo spółka Lubawa, której inwestycje powinny pozwolić wykorzystać okazję, jaką dla spółki stworzyła wojna na terenie Ukrainy – kurs akcji tej spółki po początkowym 400% wzroście spadł już o niemal połowę i najprawdopodobniej będzie pozytywnie reagować na dobre wyniki w kolejnych kwartałach.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Minorowe nastroje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produkcja sprzedana przemysłu była wyższa o 13% rdr – najbardziej wzrosła produkcja dóbr powiązanych z rynkiem energii (27,3% rdr), produkcja dóbr konsumpcyjnych nietrwałych (14,8% rdr) oraz dóbr inwestycyjnych (12,9% rdr) zmniejszyła się natomiast produkcja dóbr konsumpcyjnych trwałych o 1,2% rdr. Niestety w porównaniu z marcem br. produkcja sprzedana przemysłu w kwietniu spadła o 11,3%. Nie jest to jakimś wielkim wydarzeniem, gdyż zwykle produkcja w kwietniu jest niższa od marca, ale siła spadku przypomina tę z 2020 roku i to już jest niepokojący sygnał. Tym bardziej, że w maju nastąpił dalszy spadek produkcji, a to już nie zdarzało się zbyt często w historii.</w:t>
      </w:r>
    </w:p>
    <w:p>
      <w:r>
        <w:rPr>
          <w:rFonts w:ascii="calibri" w:hAnsi="calibri" w:eastAsia="calibri" w:cs="calibri"/>
          <w:sz w:val="24"/>
          <w:szCs w:val="24"/>
        </w:rPr>
        <w:t xml:space="preserve">Opóźnienia w dostawach i wysoka inflacja destabilizują rynek, co doprowadziło w ostatnim miesiącu do znaczącego spadku produkcji oraz nowych zamówień. Przełożyło się to na dalsze obniżenie się nastrojów wśród kadry zarządzającej spółek z sektora – indeks PMI® spadł z 52,4 do 48,5 punktów na koniec maja, przekraczając tym samym neutralną granicę 50 punktów i wkraczając w rejony pesymizmu gospodarczego z wartością najgorszą od października 2020 roku. Spadek zamówień i sprzedaży, jak wynika z odpowiedzi ankietowanych kierowników, dotyczył zarówno kanałów krajowych jak i eksportowych. Doszukując się pozytywów obecnej sytuacji należy zwrócić uwagę na niewielkie zahamowanie wzrostu cen zaopatrzenia oraz mniejsza częstość opóźnień w dostawach, co może przełożyć się na powrót na ścieżkę wzrostu popytu na polskie produkty.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Negatywne nastroje w przemyśle nie są tylko naszym zmartwieniem. J.P.Morgan Global Manufacturing PMI™ zanotował co prawda wzrost wartości z 52,3 do 52,4 i znajduje się ciągle powyżej neutralnej granicy 50 punktów, ale składowa indeksu odpowiadająca za badanie poziomu produkcji zanotowała spadek drugi miesiąc z rzędu, podobnie w przypadku nowych zamówień eksportowych. W Strefie Euro PMI® utrzymuje się ciągle powyżej 50 punktów, ale spada notując wielomiesięczne minima.</w:t>
      </w:r>
    </w:p>
    <w:p>
      <w:r>
        <w:rPr>
          <w:rFonts w:ascii="calibri" w:hAnsi="calibri" w:eastAsia="calibri" w:cs="calibri"/>
          <w:sz w:val="24"/>
          <w:szCs w:val="24"/>
        </w:rPr>
        <w:t xml:space="preserve">Do pozytywów należy zaliczyć na pewno poprawę warunków w przemyśle chińskim, gdzie nastroje działów zakupowych poprawiły się trzeci miesiąc z rzędu, co daje nadzieję na złagodzenie problemów z zaopatrzeniem również u nas. Również wzrost produkcji w Stanach Zjednoczonych zasygnalizowany przez wskaźniki PMI i ISM, może zwiastować poprawę warunków w przemyśle globalnym.</w:t>
      </w:r>
    </w:p>
    <w:p>
      <w:r>
        <w:rPr>
          <w:rFonts w:ascii="calibri" w:hAnsi="calibri" w:eastAsia="calibri" w:cs="calibri"/>
          <w:sz w:val="24"/>
          <w:szCs w:val="24"/>
        </w:rPr>
        <w:t xml:space="preserve">Przyzwoite wyniki giełdowe polskich wytwórców w maju nie mogą przesłonić nam problemów, które w tym samym czasie trapiły nasz rodzimy sektor produkcyjny. Obecnie obserwujemy spadek zamówień i jeśli w tej materii nie zaobserwujemy poprawy, to należy zastanowić się poważnie nad starym giełdowym porzekadłem, które sugeruje sprzedać akcje w maju i nie wracać przed końcem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Maciej Zaręba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Analityk i współtwórca GIP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https://www.dsr.com.pl/gip/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2026-03-22T07:28:13+01:00</dcterms:created>
  <dcterms:modified xsi:type="dcterms:W3CDTF">2026-03-22T07:28:13+01:00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