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RYZYKIEM W SEKTORZE MOTORYZACJI 2024 – WYZWANIA I WYMAGANIA BRANŻOWE DLA DOSTAWCY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ryzykiem w firmie w branży motoryzacyjnej jest kluczowym aspektem zapewniającym stabilność, efektywność i zrównoważony rozwój. To wszystko wymaga holistycznego podejścia, uwzględniającego zarówno czynniki wewnętrzne, jak i zewnętrzne oraz dynamiczne zmiany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Łańcuch dostaw w branży motoryzacyjnej z roku na rok staje się coraz bardziej złożony, a wydarzenia regionalne mają wpływ na globalną produkcję. Klęski żywiołowe i katastrofy spowodowane przez człowieka, w tym pandemia i cyberataki, stanowią poważne zagrożenie dla produkcji motoryzacyjnej na całym świecie. Do tego dochodzą możliwości zakłóceń wewnętrznych, takich jak niedobór opakowań, zakłócenia w działaniu ERP/MRP/EDI, utrata niezbędnych zapasów czy kontenerów, awarie maszyn i urządzeń, problemy z infrastrukturą IT, niedobory zasobów ludzkich czy też przerwy w dostawach energii, gazu czy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Ryzykiem, które u większości dyrektorów OEM i Tier 1 spędza sen z powiek,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brak widoczności poza dostawcami Tier 1</w:t>
      </w:r>
      <w:r>
        <w:rPr>
          <w:rFonts w:ascii="calibri" w:hAnsi="calibri" w:eastAsia="calibri" w:cs="calibri"/>
          <w:sz w:val="24"/>
          <w:szCs w:val="24"/>
        </w:rPr>
        <w:t xml:space="preserve">. Jest to kluczowy obszar, na którym wielu producentów OEM chce, aby dostawcy Tier 1 skupili się podczas oceny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dostawcy z branży motoryzacyjnej, zwłaszcza na niższych poziomach łańcucha dostaw, potrzebują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aktualnych informacji na temat zmian w zakłóceniach operacyjnych i biznesowych OEM i Tier 1.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one mieć wpływ na ich harmonogramy produkcji, a także na długoterminową rentowność biznesową. Co się dzieje, gdy dochodzi do strajków pracowniczych u producentów OEM? Jak ten rodzaj zakłóceń wpływa na dostawców na wszystkich poziomach łańcucha dostaw, nie tylko w przypadku przestoju OEM, ale także na zdolność dostawców do jednoczesnego ponownego uruchomienia zakłóconych operacji zgodnie z wymaganiami klientów?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zostanie przedstawionych kilka podstawowych kwestii związanych z zarządzaniem ryzykiem w tym sektorze: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Identyfikacja ryzyka</w:t>
      </w:r>
      <w:r>
        <w:rPr>
          <w:rFonts w:ascii="calibri" w:hAnsi="calibri" w:eastAsia="calibri" w:cs="calibri"/>
          <w:sz w:val="24"/>
          <w:szCs w:val="24"/>
        </w:rPr>
        <w:t xml:space="preserve">: systematyczna identyfikacja potencjalnych zagrożeń związanych z działalnością firmy motoryzacyjnej. Obejmuje zarówno ryzyka związane z produkcją, jak i operacyjne, logistyczne czy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Analiza ryzyka</w:t>
      </w:r>
      <w:r>
        <w:rPr>
          <w:rFonts w:ascii="calibri" w:hAnsi="calibri" w:eastAsia="calibri" w:cs="calibri"/>
          <w:sz w:val="24"/>
          <w:szCs w:val="24"/>
        </w:rPr>
        <w:t xml:space="preserve">: szczegółowa analiza potencjalnych skutków i prawdopodobieństwa wystąpienia poszczególnych zagrożeń. Pomaga w nadaniu priorytetów działań dla zarządzania ryzykiem.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reakcji na ryzyko</w:t>
      </w:r>
      <w:r>
        <w:rPr>
          <w:rFonts w:ascii="calibri" w:hAnsi="calibri" w:eastAsia="calibri" w:cs="calibri"/>
          <w:sz w:val="24"/>
          <w:szCs w:val="24"/>
        </w:rPr>
        <w:t xml:space="preserve">: opracowywanie planów zarządzania ryzykiem, w tym strategii minimalizacji, transferu, akceptacji lub unikania ryzyka. To również może obejmować zakup ubezpieczeń i rozwijanie planów awaryjnych.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i ocena ryzyka:</w:t>
      </w:r>
      <w:r>
        <w:rPr>
          <w:rFonts w:ascii="calibri" w:hAnsi="calibri" w:eastAsia="calibri" w:cs="calibri"/>
          <w:sz w:val="24"/>
          <w:szCs w:val="24"/>
        </w:rPr>
        <w:t xml:space="preserve"> regularne śledzenie i aktualizacja identyfikowanych ryzyk, ponieważ w dynamicznym środowisku motoryzacyjnym sytuacja może się zmieniać z dnia na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łańcuchem dostaw (SCM):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specjalne uwzględnienie ryzyka związanego z dostawcami, w tym monitorowanie ich stabilności finansowej, dostosowalności do zmian na rynku i zapewnienie alternatywnych źródeł dostaw. Dobrą praktyką jest mapowanie dostawców (również ze względu na lokalizację) wraz z oceną rentowności finansowej i operacyjnej.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 i technologia</w:t>
      </w:r>
      <w:r>
        <w:rPr>
          <w:rFonts w:ascii="calibri" w:hAnsi="calibri" w:eastAsia="calibri" w:cs="calibri"/>
          <w:sz w:val="24"/>
          <w:szCs w:val="24"/>
        </w:rPr>
        <w:t xml:space="preserve">: skoncentrowanie się na innowacyjności i nowoczesnych technologiach, ale jednocześnie świadomość związanych z nimi ryzyk, takich jak cyberbezpieczeństwo, czy zależność od dostaw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ryzykiem rynkowym</w:t>
      </w:r>
      <w:r>
        <w:rPr>
          <w:rFonts w:ascii="calibri" w:hAnsi="calibri" w:eastAsia="calibri" w:cs="calibri"/>
          <w:sz w:val="24"/>
          <w:szCs w:val="24"/>
        </w:rPr>
        <w:t xml:space="preserve">: analiza zmian w trendach rynkowych, preferencjach konsumentów i przepisach branżowych, aby dostosować strategię firmy do zmieniającego się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na globalne wyzwania</w:t>
      </w:r>
      <w:r>
        <w:rPr>
          <w:rFonts w:ascii="calibri" w:hAnsi="calibri" w:eastAsia="calibri" w:cs="calibri"/>
          <w:sz w:val="24"/>
          <w:szCs w:val="24"/>
        </w:rPr>
        <w:t xml:space="preserve">: zrozumienie wpływu wydarzeń globalnych, takich jak np. zmiany w polityce handlowej, na branżę motoryzacyjną i dostosowywanie strategii firmy do tych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WYMAGANIA BRANŻOWE DOTYCZĄCE ZARZĄDZANIA RYZYKIEM?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OEM z branży motoryzacyjnej już teraz wymagają od dostawców opracowania procedur zarządzania ryzykiem, planów awaryjnych i strategii. Stosowane normy i wytyczne również mają dodatkowe wymagania w tym zakresie. Wytyczne operacji logistycznych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MMOG/LE</w:t>
      </w:r>
      <w:r>
        <w:rPr>
          <w:rFonts w:ascii="calibri" w:hAnsi="calibri" w:eastAsia="calibri" w:cs="calibri"/>
          <w:sz w:val="24"/>
          <w:szCs w:val="24"/>
        </w:rPr>
        <w:t xml:space="preserve"> (Materials Management Operations Guideline, Logistic Evaluation) oraz norma jakościowa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IATF 16949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myślenie oparte o ocenę ryzyka</w:t>
      </w:r>
      <w:r>
        <w:rPr>
          <w:rFonts w:ascii="calibri" w:hAnsi="calibri" w:eastAsia="calibri" w:cs="calibri"/>
          <w:sz w:val="24"/>
          <w:szCs w:val="24"/>
        </w:rPr>
        <w:t xml:space="preserve">. Chociaż myślenie w kategorii ocen ryzyka i zarządzanie ryzykiem mogą brzmieć inaczej, proces rozwiązywania problemów MMOG/LE i IATF 16949 ma zgodne podejście obejmujące: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identyfikację ryzyka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kontrolę w celu zarządzania ryzykiem i określania działań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ryzyka jest również integralną częścią wymagań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IATF 16949 Automotive QMS</w:t>
      </w:r>
      <w:r>
        <w:rPr>
          <w:rFonts w:ascii="calibri" w:hAnsi="calibri" w:eastAsia="calibri" w:cs="calibri"/>
          <w:sz w:val="24"/>
          <w:szCs w:val="24"/>
        </w:rPr>
        <w:t xml:space="preserve">. Ryzyka (i szanse) są identyfikowane z organizacyjnego punktu widzenia, a także ryzyka technicznego związanego z projektowaniem produktów i procesami produkcyjnymi spełniającymi wymagania klientów. Podobnie jak w przypadku MMOG/LE, ocena ryzyka jest również kluczowym czynnikiem związanym z wyborem dostawcy i bieżącym zarządzaniem dostawcami, a także w planowaniu i dodatkowo wdrażaniu zmian produktowych, procesowych, a nawet organizacyjnych. Metody stosowane do oceny i zarządzania ryzykiem w IATF 16949 mogą obejmować plany awaryjne, wykonalność produkcji, FMEA (analiza przyczyn i skutków awarii), a także inne podejścia określone przez producentów OEM lub określone przez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MMOG/LE ustanawia proces opracowywania solidnego zestawu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działań i planów awaryjnych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wymaga, aby wszystkie informacje zebrane z mapowania dostawców, kart wyników wydajności i ocen były regularnie weryfikowane w celu oceny ryzyka i podjęcia działań naprawczych, jeśli to konieczne.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na bieżąco i spełniać wszystkie omówione wymogi oraz poznać praktyczne wyjaśnienie wymagań formułowanych przez OEM wobec swoich dostawców, należy przejść profesjonalne, certyfikowane szkolenie, pod opieką rozwojową organizacji Odette. Terminy najbliższych szkoleń w Polsce i na świecie dostępne są na stronie Odette: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https://www.odette.org/mmog-training#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MMOG/LE w obecnej 6-tej wersji wymaga od poddostawców przeprowadzenia oceny ryzyka i opracowania niezbędnych działań lub planów awaryjnych. Wymagania w stosunku do poddostawców powinny być dookreślone we wzorcu umowy z poddostawcą i regularnie analizowane przez organizację. Coś, co może nie być ryzykiem w jednym roku, może szybko stać się ryzykiem w następnym. Przy stale rosnących kosztach, zakłóceniach w zakładach, niedoborach siły roboczej i przejściu z produkcją na rzecz pojazdów elektrycznych, wielu dostawców niższego szczebla może być zagrożonych bankructwem. Obecnie coraz więcej organizacji powinno częściej przyglądać się rentowności finansowej wszystkich poddostawców.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branży Automotive muszą skutecznie zarządzać ryzykiem, aby utrzymać wysoką jakość swoich produktów, zadowolenie klientów oraz stabilność finansową. Regularna ocena ryzyka i skoordynowane strategie zarządzania ryzykiem są kluczowe dla sukcesu w tej bardzo konkurencyjnej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https://www.dsr.com.pl/mmog-szkolenie/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jest dostawcą rozwiązań IT, zwiększających efektywność działania przedsiębiorstw z sektora produkcyjnego. Firma świadczy również usługi doradcze i szkoleniowe, niezbędne do obsługi aplikacji biznesowych DSR 4FACTORY oraz oferuje kompleksowe wsparcie i opiekę w zakresie ich utrzymania i rozbudowy. Oprogramowanie i usługi z portfolio DSR 4FACTORY, są stale rozwijane i dopasowywane do potrzeb przedsiębiorstw produkcyjnych, w celu poprawy ich produktywności oraz zwiększenia konkurencyjności. DSR to obecnie jedno z największych centrów kompetencyjnych dla firm produkcyjnych w Polsce (ponad 80. doświadczonych ekspertów: konsultantów, kierowników projektów, analityków i programistów). Kilkaset projektów wdrożenia systemów informatycznych w polskich i międzynarodowych firmach produkcyjnych osiągających w sumie ponad 50 mld złotych przychodu rocznie i posiadających ponad 58 tys. pracowników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www.dsr.com.pl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Jaśkiewicz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+48 538 112 639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jaroslaw.jaskiewicz@dsr.com.pl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ette.org/mmog-training" TargetMode="External"/><Relationship Id="rId8" Type="http://schemas.openxmlformats.org/officeDocument/2006/relationships/hyperlink" Target="https://www.dsr.com.pl/mmog-szkolenie/" TargetMode="External"/><Relationship Id="rId9" Type="http://schemas.openxmlformats.org/officeDocument/2006/relationships/hyperlink" Target="https://www.dsr.com.pl/" TargetMode="External"/><Relationship Id="rId10" Type="http://schemas.openxmlformats.org/officeDocument/2006/relationships/hyperlink" Target="http://dsr.biuroprasowe.pl/word/?hash=a8111fbbd6d8db17a3e0d6463666ab7a&amp;id=203213&amp;typ=eprmailto:jaroslaw.jaskiewicz@ds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2026-05-16T05:28:07+02:00</dcterms:created>
  <dcterms:modified xsi:type="dcterms:W3CDTF">2026-05-16T05:28:07+02:00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